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ACCB3" w14:textId="2CD063DC" w:rsidR="006A7A7D" w:rsidRPr="006A7A7D" w:rsidRDefault="001D4BC4" w:rsidP="006A7A7D">
      <w:pPr>
        <w:jc w:val="center"/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 xml:space="preserve">ANNEXE </w:t>
      </w:r>
      <w:r w:rsidR="00CF72E3">
        <w:rPr>
          <w:i/>
          <w:iCs/>
          <w:sz w:val="28"/>
          <w:u w:val="single"/>
        </w:rPr>
        <w:t>F</w:t>
      </w:r>
    </w:p>
    <w:p w14:paraId="0FEBBFA7" w14:textId="51B65D3F" w:rsidR="006A7A7D" w:rsidRDefault="006A7A7D" w:rsidP="00A603BB">
      <w:pPr>
        <w:jc w:val="both"/>
        <w:rPr>
          <w:b/>
          <w:bCs/>
        </w:rPr>
      </w:pPr>
      <w:r>
        <w:rPr>
          <w:rFonts w:cstheme="minorHAnsi"/>
          <w:b/>
          <w:bCs/>
          <w:caps/>
        </w:rPr>
        <w:t xml:space="preserve">Structure des informations de durabilité du rapport annuel </w:t>
      </w:r>
      <w:r w:rsidR="00FA072B">
        <w:rPr>
          <w:rFonts w:cstheme="minorHAnsi"/>
          <w:b/>
          <w:bCs/>
          <w:caps/>
        </w:rPr>
        <w:t>conformément au</w:t>
      </w:r>
      <w:r w:rsidR="009F0307">
        <w:rPr>
          <w:rFonts w:cstheme="minorHAnsi"/>
          <w:b/>
          <w:bCs/>
          <w:caps/>
        </w:rPr>
        <w:t xml:space="preserve"> V de l’article D.</w:t>
      </w:r>
      <w:r w:rsidR="00A603BB">
        <w:rPr>
          <w:rFonts w:cstheme="minorHAnsi"/>
          <w:b/>
          <w:bCs/>
          <w:caps/>
        </w:rPr>
        <w:t xml:space="preserve"> </w:t>
      </w:r>
      <w:r w:rsidR="009F0307">
        <w:rPr>
          <w:rFonts w:cstheme="minorHAnsi"/>
          <w:b/>
          <w:bCs/>
          <w:caps/>
        </w:rPr>
        <w:t>5</w:t>
      </w:r>
      <w:r w:rsidR="000B2EA4">
        <w:rPr>
          <w:rFonts w:cstheme="minorHAnsi"/>
          <w:b/>
          <w:bCs/>
          <w:caps/>
        </w:rPr>
        <w:t>33</w:t>
      </w:r>
      <w:r>
        <w:rPr>
          <w:rFonts w:cstheme="minorHAnsi"/>
          <w:b/>
          <w:bCs/>
          <w:caps/>
        </w:rPr>
        <w:t>-16-1</w:t>
      </w:r>
      <w:r w:rsidR="007364E5">
        <w:rPr>
          <w:rFonts w:cstheme="minorHAnsi"/>
          <w:b/>
          <w:bCs/>
          <w:caps/>
        </w:rPr>
        <w:t xml:space="preserve"> du code monétaire et financier</w:t>
      </w:r>
      <w:r w:rsidR="00C52801">
        <w:rPr>
          <w:rFonts w:cstheme="minorHAnsi"/>
          <w:b/>
          <w:bCs/>
          <w:caps/>
        </w:rPr>
        <w:t xml:space="preserve"> applicable aux organismes</w:t>
      </w:r>
      <w:r w:rsidR="0092293E">
        <w:rPr>
          <w:rFonts w:cstheme="minorHAnsi"/>
          <w:b/>
          <w:bCs/>
          <w:caps/>
        </w:rPr>
        <w:t xml:space="preserve"> </w:t>
      </w:r>
      <w:r w:rsidR="0092293E" w:rsidRPr="00127BD3">
        <w:rPr>
          <w:rFonts w:cstheme="minorHAnsi"/>
          <w:b/>
          <w:bCs/>
          <w:caps/>
        </w:rPr>
        <w:t>ayant plus de 500 million</w:t>
      </w:r>
      <w:r w:rsidR="0092293E">
        <w:rPr>
          <w:rFonts w:cstheme="minorHAnsi"/>
          <w:b/>
          <w:bCs/>
          <w:caps/>
        </w:rPr>
        <w:t xml:space="preserve">s d'euros de Total de bilan </w:t>
      </w:r>
      <w:r w:rsidR="00C52801">
        <w:rPr>
          <w:rFonts w:cstheme="minorHAnsi"/>
          <w:b/>
          <w:bCs/>
          <w:caps/>
        </w:rPr>
        <w:t>assujettis à la fois aux dispositions de l’article 29 de la loi relative à L’energie et au climat et aux dispositions de l’Article</w:t>
      </w:r>
      <w:r w:rsidR="0030299E">
        <w:rPr>
          <w:rFonts w:cstheme="minorHAnsi"/>
          <w:b/>
          <w:bCs/>
          <w:caps/>
        </w:rPr>
        <w:t xml:space="preserve"> 4</w:t>
      </w:r>
      <w:r w:rsidR="00C52801">
        <w:rPr>
          <w:rFonts w:cstheme="minorHAnsi"/>
          <w:b/>
          <w:bCs/>
          <w:caps/>
        </w:rPr>
        <w:t xml:space="preserve"> du </w:t>
      </w:r>
      <w:r w:rsidR="00AB3602" w:rsidRPr="00AB3602">
        <w:rPr>
          <w:rFonts w:cstheme="minorHAnsi"/>
          <w:b/>
          <w:bCs/>
          <w:caps/>
        </w:rPr>
        <w:t>règlement (UE) 2019/2088 du Parlement européen et du Conseil du 27 novembre 2019</w:t>
      </w:r>
    </w:p>
    <w:p w14:paraId="044A4372" w14:textId="77777777" w:rsidR="009F0307" w:rsidRPr="009F0307" w:rsidRDefault="009F0307" w:rsidP="00A603BB">
      <w:pPr>
        <w:pStyle w:val="Paragraphedeliste"/>
        <w:spacing w:after="120"/>
        <w:ind w:left="567"/>
        <w:contextualSpacing w:val="0"/>
        <w:jc w:val="both"/>
        <w:rPr>
          <w:b/>
          <w:bCs/>
        </w:rPr>
      </w:pPr>
    </w:p>
    <w:p w14:paraId="5729E7B7" w14:textId="516067ED" w:rsidR="009F0307" w:rsidRPr="009F0307" w:rsidRDefault="0030299E" w:rsidP="00A603BB">
      <w:pPr>
        <w:pStyle w:val="Paragraphedeliste"/>
        <w:numPr>
          <w:ilvl w:val="0"/>
          <w:numId w:val="4"/>
        </w:numPr>
        <w:spacing w:after="120"/>
        <w:ind w:left="567" w:hanging="283"/>
        <w:contextualSpacing w:val="0"/>
        <w:jc w:val="both"/>
        <w:rPr>
          <w:b/>
          <w:bCs/>
          <w:u w:val="single"/>
        </w:rPr>
      </w:pPr>
      <w:r>
        <w:rPr>
          <w:rFonts w:cstheme="minorHAnsi"/>
          <w:b/>
          <w:bCs/>
          <w:caps/>
          <w:u w:val="single"/>
        </w:rPr>
        <w:t>informations issues des dispositions de l’article 29 de la loi relative à l’energie et au climat</w:t>
      </w:r>
    </w:p>
    <w:p w14:paraId="5C447AC8" w14:textId="77777777" w:rsidR="009F0307" w:rsidRDefault="009F0307" w:rsidP="00A603BB">
      <w:pPr>
        <w:pStyle w:val="Paragraphedeliste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b/>
          <w:bCs/>
        </w:rPr>
      </w:pPr>
      <w:r w:rsidRPr="002E5650">
        <w:rPr>
          <w:b/>
          <w:bCs/>
        </w:rPr>
        <w:t>Démarche générale de l’entité sur la prise en compte des critères environnementaux, sociaux et de qualité de gouvernance</w:t>
      </w:r>
    </w:p>
    <w:p w14:paraId="4A271F7A" w14:textId="74B00EBE" w:rsidR="009F0307" w:rsidRPr="000938D8" w:rsidRDefault="009F0307" w:rsidP="00A603BB">
      <w:pPr>
        <w:pStyle w:val="Paragraphedeliste"/>
        <w:spacing w:after="120"/>
        <w:ind w:left="284"/>
        <w:contextualSpacing w:val="0"/>
        <w:jc w:val="both"/>
        <w:rPr>
          <w:bCs/>
        </w:rPr>
      </w:pPr>
      <w:r w:rsidRPr="000938D8">
        <w:rPr>
          <w:bCs/>
        </w:rPr>
        <w:t xml:space="preserve">Les </w:t>
      </w:r>
      <w:r>
        <w:rPr>
          <w:bCs/>
        </w:rPr>
        <w:t xml:space="preserve">entités </w:t>
      </w:r>
      <w:r w:rsidRPr="000938D8">
        <w:rPr>
          <w:bCs/>
        </w:rPr>
        <w:t>assujetti</w:t>
      </w:r>
      <w:r>
        <w:rPr>
          <w:bCs/>
        </w:rPr>
        <w:t>e</w:t>
      </w:r>
      <w:r w:rsidRPr="000938D8">
        <w:rPr>
          <w:bCs/>
        </w:rPr>
        <w:t xml:space="preserve">s </w:t>
      </w:r>
      <w:r>
        <w:rPr>
          <w:bCs/>
        </w:rPr>
        <w:t xml:space="preserve">aux obligations de publication de l’article 29 de la loi 2019-1147 relative à l’énergie et au climat </w:t>
      </w:r>
      <w:r w:rsidRPr="000938D8">
        <w:rPr>
          <w:bCs/>
        </w:rPr>
        <w:t xml:space="preserve">fournissent les informations </w:t>
      </w:r>
      <w:r w:rsidR="00D03219">
        <w:rPr>
          <w:bCs/>
        </w:rPr>
        <w:t>prévues au a), b)</w:t>
      </w:r>
      <w:r w:rsidR="000265C5">
        <w:rPr>
          <w:bCs/>
        </w:rPr>
        <w:t xml:space="preserve"> </w:t>
      </w:r>
      <w:bookmarkStart w:id="0" w:name="_GoBack"/>
      <w:bookmarkEnd w:id="0"/>
      <w:r w:rsidR="00D03219">
        <w:rPr>
          <w:bCs/>
        </w:rPr>
        <w:t>et e) d</w:t>
      </w:r>
      <w:r w:rsidR="00D03219" w:rsidRPr="000938D8">
        <w:rPr>
          <w:bCs/>
        </w:rPr>
        <w:t xml:space="preserve">u </w:t>
      </w:r>
      <w:r w:rsidRPr="000938D8">
        <w:rPr>
          <w:bCs/>
        </w:rPr>
        <w:t xml:space="preserve">1° </w:t>
      </w:r>
      <w:r w:rsidR="00A603BB" w:rsidRPr="000938D8">
        <w:rPr>
          <w:bCs/>
        </w:rPr>
        <w:t xml:space="preserve">du III </w:t>
      </w:r>
      <w:r w:rsidR="00A603BB">
        <w:rPr>
          <w:bCs/>
        </w:rPr>
        <w:t>de l’article D. 533-16-1 du code monétaire et financier</w:t>
      </w:r>
      <w:r w:rsidR="00A603BB" w:rsidRPr="000938D8">
        <w:rPr>
          <w:bCs/>
        </w:rPr>
        <w:t>.</w:t>
      </w:r>
    </w:p>
    <w:p w14:paraId="59EF5679" w14:textId="77777777" w:rsidR="009F0307" w:rsidRDefault="009F0307" w:rsidP="00A603BB">
      <w:pPr>
        <w:pStyle w:val="Paragraphedeliste"/>
        <w:numPr>
          <w:ilvl w:val="0"/>
          <w:numId w:val="2"/>
        </w:numPr>
        <w:spacing w:after="60"/>
        <w:contextualSpacing w:val="0"/>
        <w:jc w:val="both"/>
        <w:rPr>
          <w:b/>
          <w:bCs/>
        </w:rPr>
      </w:pPr>
      <w:r w:rsidRPr="00B043A0">
        <w:rPr>
          <w:b/>
          <w:bCs/>
        </w:rPr>
        <w:t>Moyens internes déployés par l’entité</w:t>
      </w:r>
    </w:p>
    <w:p w14:paraId="4DD540EA" w14:textId="762DD67F" w:rsidR="009F0307" w:rsidRPr="000938D8" w:rsidRDefault="009F0307" w:rsidP="00A603BB">
      <w:pPr>
        <w:pStyle w:val="Paragraphedeliste"/>
        <w:spacing w:after="120"/>
        <w:ind w:left="360"/>
        <w:contextualSpacing w:val="0"/>
        <w:jc w:val="both"/>
        <w:rPr>
          <w:bCs/>
        </w:rPr>
      </w:pPr>
      <w:r w:rsidRPr="000938D8">
        <w:rPr>
          <w:bCs/>
        </w:rPr>
        <w:t xml:space="preserve">Les </w:t>
      </w:r>
      <w:r>
        <w:rPr>
          <w:bCs/>
        </w:rPr>
        <w:t xml:space="preserve">entités </w:t>
      </w:r>
      <w:r w:rsidRPr="000938D8">
        <w:rPr>
          <w:bCs/>
        </w:rPr>
        <w:t>assujetti</w:t>
      </w:r>
      <w:r>
        <w:rPr>
          <w:bCs/>
        </w:rPr>
        <w:t>e</w:t>
      </w:r>
      <w:r w:rsidRPr="000938D8">
        <w:rPr>
          <w:bCs/>
        </w:rPr>
        <w:t xml:space="preserve">s </w:t>
      </w:r>
      <w:r>
        <w:rPr>
          <w:bCs/>
        </w:rPr>
        <w:t xml:space="preserve">aux obligations de publication de l’article 29 de la loi relative à l’énergie et au climat </w:t>
      </w:r>
      <w:r w:rsidRPr="000938D8">
        <w:rPr>
          <w:bCs/>
        </w:rPr>
        <w:t>fournissent les informations</w:t>
      </w:r>
      <w:r>
        <w:rPr>
          <w:bCs/>
        </w:rPr>
        <w:t xml:space="preserve"> prévues au 2</w:t>
      </w:r>
      <w:r w:rsidRPr="000938D8">
        <w:rPr>
          <w:bCs/>
        </w:rPr>
        <w:t xml:space="preserve">° </w:t>
      </w:r>
      <w:r w:rsidR="00A603BB">
        <w:rPr>
          <w:bCs/>
        </w:rPr>
        <w:t>du III de l’article D. 533-16-1 du code monétaire et financier.</w:t>
      </w:r>
    </w:p>
    <w:p w14:paraId="09282C80" w14:textId="2B566C1C" w:rsidR="009F0307" w:rsidRDefault="009F0307" w:rsidP="00A603BB">
      <w:pPr>
        <w:pStyle w:val="Paragraphedeliste"/>
        <w:numPr>
          <w:ilvl w:val="0"/>
          <w:numId w:val="2"/>
        </w:numPr>
        <w:spacing w:after="60"/>
        <w:contextualSpacing w:val="0"/>
        <w:jc w:val="both"/>
        <w:rPr>
          <w:b/>
          <w:bCs/>
        </w:rPr>
      </w:pPr>
      <w:r w:rsidRPr="00B043A0">
        <w:rPr>
          <w:b/>
          <w:bCs/>
        </w:rPr>
        <w:t>Démarche de prise en compte des critères environnementaux, sociaux et de qualité de gouvernance au niveau de la gouvernance de l'entité</w:t>
      </w:r>
    </w:p>
    <w:p w14:paraId="653FD5A8" w14:textId="02550471" w:rsidR="009F0307" w:rsidRPr="000938D8" w:rsidRDefault="009F0307" w:rsidP="00A603BB">
      <w:pPr>
        <w:pStyle w:val="Paragraphedeliste"/>
        <w:spacing w:after="120"/>
        <w:ind w:left="360"/>
        <w:contextualSpacing w:val="0"/>
        <w:jc w:val="both"/>
        <w:rPr>
          <w:bCs/>
        </w:rPr>
      </w:pPr>
      <w:r w:rsidRPr="000938D8">
        <w:rPr>
          <w:bCs/>
        </w:rPr>
        <w:t xml:space="preserve">Les </w:t>
      </w:r>
      <w:r>
        <w:rPr>
          <w:bCs/>
        </w:rPr>
        <w:t xml:space="preserve">entités </w:t>
      </w:r>
      <w:r w:rsidRPr="000938D8">
        <w:rPr>
          <w:bCs/>
        </w:rPr>
        <w:t>assujetti</w:t>
      </w:r>
      <w:r>
        <w:rPr>
          <w:bCs/>
        </w:rPr>
        <w:t>e</w:t>
      </w:r>
      <w:r w:rsidRPr="000938D8">
        <w:rPr>
          <w:bCs/>
        </w:rPr>
        <w:t xml:space="preserve">s </w:t>
      </w:r>
      <w:r>
        <w:rPr>
          <w:bCs/>
        </w:rPr>
        <w:t xml:space="preserve">aux obligations de publication de l’article 29 de la loi relative à l’énergie et au climat </w:t>
      </w:r>
      <w:r w:rsidRPr="000938D8">
        <w:rPr>
          <w:bCs/>
        </w:rPr>
        <w:t>fournissent les informations</w:t>
      </w:r>
      <w:r>
        <w:rPr>
          <w:bCs/>
        </w:rPr>
        <w:t xml:space="preserve"> prévues</w:t>
      </w:r>
      <w:r w:rsidRPr="000938D8">
        <w:rPr>
          <w:bCs/>
        </w:rPr>
        <w:t xml:space="preserve"> au </w:t>
      </w:r>
      <w:r>
        <w:rPr>
          <w:bCs/>
        </w:rPr>
        <w:t>3</w:t>
      </w:r>
      <w:r w:rsidRPr="000938D8">
        <w:rPr>
          <w:bCs/>
        </w:rPr>
        <w:t xml:space="preserve">° </w:t>
      </w:r>
      <w:r w:rsidR="00A603BB">
        <w:rPr>
          <w:bCs/>
        </w:rPr>
        <w:t>du III de l’article D. 533-16-1 du code monétaire et financier.</w:t>
      </w:r>
    </w:p>
    <w:p w14:paraId="5CF47FD9" w14:textId="77777777" w:rsidR="009F0307" w:rsidRDefault="009F0307" w:rsidP="00A603BB">
      <w:pPr>
        <w:pStyle w:val="Paragraphedeliste"/>
        <w:numPr>
          <w:ilvl w:val="0"/>
          <w:numId w:val="2"/>
        </w:numPr>
        <w:spacing w:after="60"/>
        <w:contextualSpacing w:val="0"/>
        <w:jc w:val="both"/>
        <w:rPr>
          <w:b/>
          <w:bCs/>
        </w:rPr>
      </w:pPr>
      <w:r w:rsidRPr="00B043A0">
        <w:rPr>
          <w:b/>
          <w:bCs/>
        </w:rPr>
        <w:t>Stratégie d'engagement auprès des émetteurs ou vis-à-vis des sociétés de gestion ainsi que sur sa mise en œuvre</w:t>
      </w:r>
    </w:p>
    <w:p w14:paraId="2AD97E4D" w14:textId="702664E5" w:rsidR="009F0307" w:rsidRPr="000938D8" w:rsidRDefault="009F0307" w:rsidP="00A603BB">
      <w:pPr>
        <w:pStyle w:val="Paragraphedeliste"/>
        <w:spacing w:after="120"/>
        <w:ind w:left="360"/>
        <w:contextualSpacing w:val="0"/>
        <w:jc w:val="both"/>
        <w:rPr>
          <w:bCs/>
        </w:rPr>
      </w:pPr>
      <w:r w:rsidRPr="000938D8">
        <w:rPr>
          <w:bCs/>
        </w:rPr>
        <w:t xml:space="preserve">Les </w:t>
      </w:r>
      <w:r>
        <w:rPr>
          <w:bCs/>
        </w:rPr>
        <w:t xml:space="preserve">entités </w:t>
      </w:r>
      <w:r w:rsidRPr="000938D8">
        <w:rPr>
          <w:bCs/>
        </w:rPr>
        <w:t>assujetti</w:t>
      </w:r>
      <w:r>
        <w:rPr>
          <w:bCs/>
        </w:rPr>
        <w:t>e</w:t>
      </w:r>
      <w:r w:rsidRPr="000938D8">
        <w:rPr>
          <w:bCs/>
        </w:rPr>
        <w:t xml:space="preserve">s </w:t>
      </w:r>
      <w:r>
        <w:rPr>
          <w:bCs/>
        </w:rPr>
        <w:t xml:space="preserve">aux obligations de publication de l’article 29 de la loi relative à l’énergie et au climat </w:t>
      </w:r>
      <w:r w:rsidRPr="000938D8">
        <w:rPr>
          <w:bCs/>
        </w:rPr>
        <w:t xml:space="preserve">fournissent les informations au </w:t>
      </w:r>
      <w:r>
        <w:rPr>
          <w:bCs/>
        </w:rPr>
        <w:t>4</w:t>
      </w:r>
      <w:r w:rsidRPr="000938D8">
        <w:rPr>
          <w:bCs/>
        </w:rPr>
        <w:t xml:space="preserve">° </w:t>
      </w:r>
      <w:r w:rsidR="00A603BB">
        <w:rPr>
          <w:bCs/>
        </w:rPr>
        <w:t>du III de l’article D. 533-16-1 du code monétaire et financier.</w:t>
      </w:r>
    </w:p>
    <w:p w14:paraId="01CB4AFB" w14:textId="77777777" w:rsidR="00A65EEC" w:rsidRDefault="00A65EEC" w:rsidP="00A603BB">
      <w:pPr>
        <w:pStyle w:val="Paragraphedeliste"/>
        <w:numPr>
          <w:ilvl w:val="0"/>
          <w:numId w:val="2"/>
        </w:numPr>
        <w:spacing w:after="60"/>
        <w:contextualSpacing w:val="0"/>
        <w:jc w:val="both"/>
        <w:rPr>
          <w:b/>
          <w:bCs/>
        </w:rPr>
      </w:pPr>
      <w:r w:rsidRPr="00B043A0">
        <w:rPr>
          <w:b/>
          <w:bCs/>
        </w:rPr>
        <w:t>Taxonomie européenne et combustibles fossiles</w:t>
      </w:r>
    </w:p>
    <w:p w14:paraId="6F0839DA" w14:textId="01E0B5BD" w:rsidR="00A65EEC" w:rsidRPr="00A57CB0" w:rsidRDefault="00A65EEC" w:rsidP="00A603BB">
      <w:pPr>
        <w:pStyle w:val="Paragraphedeliste"/>
        <w:spacing w:after="120"/>
        <w:ind w:left="360"/>
        <w:contextualSpacing w:val="0"/>
        <w:jc w:val="both"/>
        <w:rPr>
          <w:bCs/>
        </w:rPr>
      </w:pPr>
      <w:r w:rsidRPr="000938D8">
        <w:rPr>
          <w:bCs/>
        </w:rPr>
        <w:t xml:space="preserve">Les </w:t>
      </w:r>
      <w:r>
        <w:rPr>
          <w:bCs/>
        </w:rPr>
        <w:t xml:space="preserve">entités </w:t>
      </w:r>
      <w:r w:rsidRPr="000938D8">
        <w:rPr>
          <w:bCs/>
        </w:rPr>
        <w:t>assujetti</w:t>
      </w:r>
      <w:r>
        <w:rPr>
          <w:bCs/>
        </w:rPr>
        <w:t>e</w:t>
      </w:r>
      <w:r w:rsidRPr="000938D8">
        <w:rPr>
          <w:bCs/>
        </w:rPr>
        <w:t xml:space="preserve">s </w:t>
      </w:r>
      <w:r>
        <w:rPr>
          <w:bCs/>
        </w:rPr>
        <w:t xml:space="preserve">aux obligations de publication de l’article 29 de la loi relative à l’énergie et au climat </w:t>
      </w:r>
      <w:r w:rsidRPr="000938D8">
        <w:rPr>
          <w:bCs/>
        </w:rPr>
        <w:t xml:space="preserve">fournissent les informations au </w:t>
      </w:r>
      <w:r>
        <w:rPr>
          <w:bCs/>
        </w:rPr>
        <w:t>5</w:t>
      </w:r>
      <w:r w:rsidRPr="000938D8">
        <w:rPr>
          <w:bCs/>
        </w:rPr>
        <w:t xml:space="preserve">° </w:t>
      </w:r>
      <w:r w:rsidR="00A603BB">
        <w:rPr>
          <w:bCs/>
        </w:rPr>
        <w:t>du III de l’article D. 533-16-1 du code monétaire et financier.</w:t>
      </w:r>
    </w:p>
    <w:p w14:paraId="74CF1AF9" w14:textId="2D7E3907" w:rsidR="009F0307" w:rsidRDefault="009F0307" w:rsidP="00A603BB">
      <w:pPr>
        <w:pStyle w:val="Paragraphedeliste"/>
        <w:numPr>
          <w:ilvl w:val="0"/>
          <w:numId w:val="2"/>
        </w:numPr>
        <w:spacing w:after="60"/>
        <w:contextualSpacing w:val="0"/>
        <w:jc w:val="both"/>
        <w:rPr>
          <w:b/>
          <w:bCs/>
        </w:rPr>
      </w:pPr>
      <w:r w:rsidRPr="00B043A0">
        <w:rPr>
          <w:b/>
          <w:bCs/>
        </w:rPr>
        <w:t xml:space="preserve">Stratégie d'alignement avec les objectifs internationaux des articles 2 et 4 de l'Accord de Paris relatifs à l'atténuation des émissions de gaz à effet de serre et, le cas échéant, pour les produits financiers dont les investissements sous-jacents sont entièrement réalisés sur le territoire français, </w:t>
      </w:r>
      <w:r w:rsidR="00B51B63">
        <w:rPr>
          <w:b/>
          <w:bCs/>
        </w:rPr>
        <w:t>l</w:t>
      </w:r>
      <w:r w:rsidRPr="00B043A0">
        <w:rPr>
          <w:b/>
          <w:bCs/>
        </w:rPr>
        <w:t>a stratégie nationale bas-carbone mentionnée à l'article L. 222</w:t>
      </w:r>
      <w:r>
        <w:rPr>
          <w:b/>
          <w:bCs/>
        </w:rPr>
        <w:t>-1 B du code de l'environnement</w:t>
      </w:r>
    </w:p>
    <w:p w14:paraId="484ABBD7" w14:textId="783A4EEA" w:rsidR="009F0307" w:rsidRPr="000938D8" w:rsidRDefault="009F0307" w:rsidP="00A603BB">
      <w:pPr>
        <w:pStyle w:val="Paragraphedeliste"/>
        <w:spacing w:after="120"/>
        <w:ind w:left="360"/>
        <w:contextualSpacing w:val="0"/>
        <w:jc w:val="both"/>
        <w:rPr>
          <w:bCs/>
        </w:rPr>
      </w:pPr>
      <w:r w:rsidRPr="000938D8">
        <w:rPr>
          <w:bCs/>
        </w:rPr>
        <w:t xml:space="preserve">Les </w:t>
      </w:r>
      <w:r>
        <w:rPr>
          <w:bCs/>
        </w:rPr>
        <w:t xml:space="preserve">entités </w:t>
      </w:r>
      <w:r w:rsidRPr="000938D8">
        <w:rPr>
          <w:bCs/>
        </w:rPr>
        <w:t>assujetti</w:t>
      </w:r>
      <w:r>
        <w:rPr>
          <w:bCs/>
        </w:rPr>
        <w:t>e</w:t>
      </w:r>
      <w:r w:rsidRPr="000938D8">
        <w:rPr>
          <w:bCs/>
        </w:rPr>
        <w:t xml:space="preserve">s </w:t>
      </w:r>
      <w:r>
        <w:rPr>
          <w:bCs/>
        </w:rPr>
        <w:t xml:space="preserve">aux obligations de publication de l’article 29 de la loi relative à l’énergie et au climat </w:t>
      </w:r>
      <w:r w:rsidRPr="000938D8">
        <w:rPr>
          <w:bCs/>
        </w:rPr>
        <w:t xml:space="preserve">fournissent les informations au </w:t>
      </w:r>
      <w:r>
        <w:rPr>
          <w:bCs/>
        </w:rPr>
        <w:t>6</w:t>
      </w:r>
      <w:r w:rsidRPr="000938D8">
        <w:rPr>
          <w:bCs/>
        </w:rPr>
        <w:t xml:space="preserve">° </w:t>
      </w:r>
      <w:r w:rsidR="00A603BB">
        <w:rPr>
          <w:bCs/>
        </w:rPr>
        <w:t>du III de l’article D. 533-16-1 du code monétaire et financier.</w:t>
      </w:r>
    </w:p>
    <w:p w14:paraId="76150AD5" w14:textId="77777777" w:rsidR="009F0307" w:rsidRDefault="009F0307" w:rsidP="00A603BB">
      <w:pPr>
        <w:pStyle w:val="Paragraphedeliste"/>
        <w:numPr>
          <w:ilvl w:val="0"/>
          <w:numId w:val="2"/>
        </w:numPr>
        <w:spacing w:after="60"/>
        <w:contextualSpacing w:val="0"/>
        <w:jc w:val="both"/>
        <w:rPr>
          <w:b/>
          <w:bCs/>
        </w:rPr>
      </w:pPr>
      <w:r w:rsidRPr="00B043A0">
        <w:rPr>
          <w:b/>
          <w:bCs/>
        </w:rPr>
        <w:t xml:space="preserve">Stratégie d'alignement avec les objectifs de long terme liés à la biodiversité. L'entité fournit une stratégie d'alignement avec les objectifs de long terme liés à la biodiversité, en précisant le </w:t>
      </w:r>
      <w:r w:rsidRPr="00B043A0">
        <w:rPr>
          <w:b/>
          <w:bCs/>
        </w:rPr>
        <w:lastRenderedPageBreak/>
        <w:t>périmètre de la chaîne de valeur retenu, qui comprend des objectifs fixés à horizon 2030, puis tous les cinq ans, sur les éléments suivants</w:t>
      </w:r>
    </w:p>
    <w:p w14:paraId="204D8484" w14:textId="4054A10A" w:rsidR="009F0307" w:rsidRPr="000938D8" w:rsidRDefault="009F0307" w:rsidP="00A603BB">
      <w:pPr>
        <w:pStyle w:val="Paragraphedeliste"/>
        <w:spacing w:after="120"/>
        <w:ind w:left="360"/>
        <w:contextualSpacing w:val="0"/>
        <w:jc w:val="both"/>
        <w:rPr>
          <w:bCs/>
        </w:rPr>
      </w:pPr>
      <w:r w:rsidRPr="000938D8">
        <w:rPr>
          <w:bCs/>
        </w:rPr>
        <w:t xml:space="preserve">Les </w:t>
      </w:r>
      <w:r>
        <w:rPr>
          <w:bCs/>
        </w:rPr>
        <w:t xml:space="preserve">entités </w:t>
      </w:r>
      <w:r w:rsidRPr="000938D8">
        <w:rPr>
          <w:bCs/>
        </w:rPr>
        <w:t>assujetti</w:t>
      </w:r>
      <w:r>
        <w:rPr>
          <w:bCs/>
        </w:rPr>
        <w:t>e</w:t>
      </w:r>
      <w:r w:rsidRPr="000938D8">
        <w:rPr>
          <w:bCs/>
        </w:rPr>
        <w:t xml:space="preserve">s </w:t>
      </w:r>
      <w:r>
        <w:rPr>
          <w:bCs/>
        </w:rPr>
        <w:t xml:space="preserve">aux obligations de publication de l’article 29 de la loi relative à l’énergie et au climat </w:t>
      </w:r>
      <w:r w:rsidRPr="000938D8">
        <w:rPr>
          <w:bCs/>
        </w:rPr>
        <w:t xml:space="preserve">fournissent les informations au </w:t>
      </w:r>
      <w:r>
        <w:rPr>
          <w:bCs/>
        </w:rPr>
        <w:t>7</w:t>
      </w:r>
      <w:r w:rsidRPr="000938D8">
        <w:rPr>
          <w:bCs/>
        </w:rPr>
        <w:t xml:space="preserve">° </w:t>
      </w:r>
      <w:r w:rsidR="00A603BB">
        <w:rPr>
          <w:bCs/>
        </w:rPr>
        <w:t>du III de l’article D. 533-16-1 du code monétaire et financier.</w:t>
      </w:r>
    </w:p>
    <w:p w14:paraId="099752C3" w14:textId="77777777" w:rsidR="009F0307" w:rsidRDefault="009F0307" w:rsidP="00A603BB">
      <w:pPr>
        <w:pStyle w:val="Paragraphedeliste"/>
        <w:numPr>
          <w:ilvl w:val="0"/>
          <w:numId w:val="2"/>
        </w:numPr>
        <w:spacing w:after="60"/>
        <w:contextualSpacing w:val="0"/>
        <w:jc w:val="both"/>
        <w:rPr>
          <w:b/>
          <w:bCs/>
        </w:rPr>
      </w:pPr>
      <w:r w:rsidRPr="00B043A0">
        <w:rPr>
          <w:b/>
          <w:bCs/>
        </w:rPr>
        <w:t>Démarche de prise en compte des critères environnementaux, sociaux et de qualité de gouvernance dans la gestion des risques</w:t>
      </w:r>
      <w:r>
        <w:rPr>
          <w:b/>
          <w:bCs/>
        </w:rPr>
        <w:t xml:space="preserve">, </w:t>
      </w:r>
      <w:r w:rsidRPr="00B043A0">
        <w:rPr>
          <w:b/>
          <w:bCs/>
        </w:rPr>
        <w:t>notamment les risques physiques, de transition et de responsabilité liés au changement climatique et à la biodiversité</w:t>
      </w:r>
    </w:p>
    <w:p w14:paraId="0D4EAD1A" w14:textId="2B20058C" w:rsidR="009F0307" w:rsidRPr="007A0488" w:rsidRDefault="009F0307" w:rsidP="00A603BB">
      <w:pPr>
        <w:pStyle w:val="Paragraphedeliste"/>
        <w:spacing w:after="120"/>
        <w:ind w:left="360"/>
        <w:contextualSpacing w:val="0"/>
        <w:jc w:val="both"/>
        <w:rPr>
          <w:bCs/>
        </w:rPr>
      </w:pPr>
      <w:r w:rsidRPr="000938D8">
        <w:rPr>
          <w:bCs/>
        </w:rPr>
        <w:t xml:space="preserve">Les </w:t>
      </w:r>
      <w:r>
        <w:rPr>
          <w:bCs/>
        </w:rPr>
        <w:t xml:space="preserve">entités </w:t>
      </w:r>
      <w:r w:rsidRPr="000938D8">
        <w:rPr>
          <w:bCs/>
        </w:rPr>
        <w:t>assujetti</w:t>
      </w:r>
      <w:r>
        <w:rPr>
          <w:bCs/>
        </w:rPr>
        <w:t>e</w:t>
      </w:r>
      <w:r w:rsidRPr="000938D8">
        <w:rPr>
          <w:bCs/>
        </w:rPr>
        <w:t xml:space="preserve">s </w:t>
      </w:r>
      <w:r>
        <w:rPr>
          <w:bCs/>
        </w:rPr>
        <w:t xml:space="preserve">aux obligations de publication de l’article 29 de la loi relative à l’énergie et au climat </w:t>
      </w:r>
      <w:r w:rsidRPr="000938D8">
        <w:rPr>
          <w:bCs/>
        </w:rPr>
        <w:t xml:space="preserve">fournissent les informations </w:t>
      </w:r>
      <w:r>
        <w:rPr>
          <w:bCs/>
        </w:rPr>
        <w:t xml:space="preserve">prévues </w:t>
      </w:r>
      <w:r w:rsidRPr="000938D8">
        <w:rPr>
          <w:bCs/>
        </w:rPr>
        <w:t xml:space="preserve">au </w:t>
      </w:r>
      <w:r>
        <w:rPr>
          <w:bCs/>
        </w:rPr>
        <w:t>8</w:t>
      </w:r>
      <w:r w:rsidRPr="000938D8">
        <w:rPr>
          <w:bCs/>
        </w:rPr>
        <w:t xml:space="preserve">° </w:t>
      </w:r>
      <w:r>
        <w:rPr>
          <w:bCs/>
        </w:rPr>
        <w:t xml:space="preserve">et 8° bis </w:t>
      </w:r>
      <w:r w:rsidR="00A603BB">
        <w:rPr>
          <w:bCs/>
        </w:rPr>
        <w:t>du III de l’article D. 533-16-1 du code monétaire et financier.</w:t>
      </w:r>
    </w:p>
    <w:p w14:paraId="1E538302" w14:textId="77777777" w:rsidR="009F0307" w:rsidRPr="004378B3" w:rsidRDefault="009F0307" w:rsidP="00A603BB">
      <w:pPr>
        <w:pStyle w:val="Paragraphedeliste"/>
        <w:numPr>
          <w:ilvl w:val="0"/>
          <w:numId w:val="2"/>
        </w:numPr>
        <w:spacing w:after="60"/>
        <w:contextualSpacing w:val="0"/>
        <w:jc w:val="both"/>
        <w:rPr>
          <w:b/>
          <w:bCs/>
        </w:rPr>
      </w:pPr>
      <w:r w:rsidRPr="004378B3">
        <w:rPr>
          <w:b/>
          <w:bCs/>
        </w:rPr>
        <w:t xml:space="preserve">Liste des produits financiers mentionnés en vertu de l'article 8 et 9 du Règlement Disclosure (SFDR) </w:t>
      </w:r>
    </w:p>
    <w:p w14:paraId="04D59EED" w14:textId="340CB4BD" w:rsidR="009F0307" w:rsidRPr="007A0488" w:rsidRDefault="009F0307" w:rsidP="00A603BB">
      <w:pPr>
        <w:pStyle w:val="Paragraphedeliste"/>
        <w:spacing w:after="120"/>
        <w:ind w:left="360"/>
        <w:contextualSpacing w:val="0"/>
        <w:jc w:val="both"/>
        <w:rPr>
          <w:bCs/>
        </w:rPr>
      </w:pPr>
      <w:r w:rsidRPr="000938D8">
        <w:rPr>
          <w:bCs/>
        </w:rPr>
        <w:t xml:space="preserve">Les </w:t>
      </w:r>
      <w:r>
        <w:rPr>
          <w:bCs/>
        </w:rPr>
        <w:t xml:space="preserve">entités </w:t>
      </w:r>
      <w:r w:rsidRPr="000938D8">
        <w:rPr>
          <w:bCs/>
        </w:rPr>
        <w:t>assujetti</w:t>
      </w:r>
      <w:r>
        <w:rPr>
          <w:bCs/>
        </w:rPr>
        <w:t>e</w:t>
      </w:r>
      <w:r w:rsidRPr="000938D8">
        <w:rPr>
          <w:bCs/>
        </w:rPr>
        <w:t xml:space="preserve">s </w:t>
      </w:r>
      <w:r>
        <w:rPr>
          <w:bCs/>
        </w:rPr>
        <w:t xml:space="preserve">aux obligations de publication de l’article 29 de la loi relative à l’énergie et au climat </w:t>
      </w:r>
      <w:r w:rsidRPr="000938D8">
        <w:rPr>
          <w:bCs/>
        </w:rPr>
        <w:t xml:space="preserve">fournissent les informations </w:t>
      </w:r>
      <w:r>
        <w:rPr>
          <w:bCs/>
        </w:rPr>
        <w:t xml:space="preserve">prévues </w:t>
      </w:r>
      <w:r w:rsidRPr="000938D8">
        <w:rPr>
          <w:bCs/>
        </w:rPr>
        <w:t xml:space="preserve">au </w:t>
      </w:r>
      <w:r>
        <w:rPr>
          <w:bCs/>
        </w:rPr>
        <w:t xml:space="preserve">1° c) </w:t>
      </w:r>
      <w:r w:rsidR="00A603BB">
        <w:rPr>
          <w:bCs/>
        </w:rPr>
        <w:t>du III de l’article D. 533-16-1 du code monétaire et financier.</w:t>
      </w:r>
    </w:p>
    <w:p w14:paraId="5A67314D" w14:textId="77777777" w:rsidR="009F0307" w:rsidRPr="009F0307" w:rsidRDefault="009F0307" w:rsidP="00A603BB">
      <w:pPr>
        <w:pStyle w:val="Paragraphedeliste"/>
        <w:spacing w:after="120"/>
        <w:ind w:left="567"/>
        <w:contextualSpacing w:val="0"/>
        <w:jc w:val="both"/>
        <w:rPr>
          <w:b/>
          <w:bCs/>
          <w:u w:val="single"/>
        </w:rPr>
      </w:pPr>
    </w:p>
    <w:p w14:paraId="6EF30D51" w14:textId="77777777" w:rsidR="00AB3602" w:rsidRPr="00AB3602" w:rsidRDefault="0030299E" w:rsidP="00A603BB">
      <w:pPr>
        <w:pStyle w:val="Paragraphedeliste"/>
        <w:numPr>
          <w:ilvl w:val="0"/>
          <w:numId w:val="4"/>
        </w:numPr>
        <w:spacing w:after="120"/>
        <w:ind w:left="567" w:hanging="283"/>
        <w:contextualSpacing w:val="0"/>
        <w:jc w:val="both"/>
        <w:rPr>
          <w:b/>
          <w:bCs/>
        </w:rPr>
      </w:pPr>
      <w:r w:rsidRPr="00AB3602">
        <w:rPr>
          <w:rFonts w:cstheme="minorHAnsi"/>
          <w:b/>
          <w:bCs/>
          <w:caps/>
          <w:u w:val="single"/>
        </w:rPr>
        <w:t xml:space="preserve">informations issues des DISPOSITIONS DE L’ARTICLE 4 DU </w:t>
      </w:r>
      <w:r w:rsidR="00AB3602" w:rsidRPr="00AB3602">
        <w:rPr>
          <w:rFonts w:cstheme="minorHAnsi"/>
          <w:b/>
          <w:bCs/>
          <w:caps/>
          <w:u w:val="single"/>
        </w:rPr>
        <w:t xml:space="preserve">règlement (UE) 2019/2088 du Parlement européen et du Conseil du 27 novembre 2019 </w:t>
      </w:r>
    </w:p>
    <w:p w14:paraId="210E48A1" w14:textId="7BEDA74E" w:rsidR="00301282" w:rsidRPr="00AB3602" w:rsidRDefault="00301282" w:rsidP="00BC280B">
      <w:pPr>
        <w:pStyle w:val="Paragraphedeliste"/>
        <w:numPr>
          <w:ilvl w:val="0"/>
          <w:numId w:val="2"/>
        </w:numPr>
        <w:spacing w:after="120"/>
        <w:contextualSpacing w:val="0"/>
        <w:jc w:val="both"/>
        <w:rPr>
          <w:b/>
          <w:bCs/>
        </w:rPr>
      </w:pPr>
      <w:r w:rsidRPr="00AB3602">
        <w:rPr>
          <w:b/>
          <w:bCs/>
        </w:rPr>
        <w:t>Résumé des principales incidences négatives sur les facteurs de durabilité</w:t>
      </w:r>
    </w:p>
    <w:p w14:paraId="6E41CD05" w14:textId="194F2D8C" w:rsidR="0030299E" w:rsidRPr="0030299E" w:rsidRDefault="0030299E" w:rsidP="00A603BB">
      <w:pPr>
        <w:pStyle w:val="Paragraphedeliste"/>
        <w:spacing w:after="120"/>
        <w:ind w:left="360"/>
        <w:contextualSpacing w:val="0"/>
        <w:jc w:val="both"/>
        <w:rPr>
          <w:bCs/>
        </w:rPr>
      </w:pPr>
      <w:r w:rsidRPr="00EF3DE5">
        <w:rPr>
          <w:bCs/>
        </w:rPr>
        <w:t>Les entités assujetties aux obligation</w:t>
      </w:r>
      <w:r>
        <w:rPr>
          <w:bCs/>
        </w:rPr>
        <w:t xml:space="preserve">s de publication de l’article 4 du règlement </w:t>
      </w:r>
      <w:r w:rsidR="00EC1BE7">
        <w:rPr>
          <w:bCs/>
        </w:rPr>
        <w:t>(UE)</w:t>
      </w:r>
      <w:r>
        <w:rPr>
          <w:bCs/>
        </w:rPr>
        <w:t xml:space="preserve"> 2019/2088</w:t>
      </w:r>
      <w:r w:rsidRPr="0030299E">
        <w:rPr>
          <w:bCs/>
        </w:rPr>
        <w:t xml:space="preserve"> fournissent les informations prévues </w:t>
      </w:r>
      <w:r w:rsidR="00F01036">
        <w:rPr>
          <w:bCs/>
        </w:rPr>
        <w:t>à l’article 5</w:t>
      </w:r>
      <w:r>
        <w:rPr>
          <w:bCs/>
        </w:rPr>
        <w:t xml:space="preserve"> du </w:t>
      </w:r>
      <w:r w:rsidR="00AB3602">
        <w:rPr>
          <w:bCs/>
        </w:rPr>
        <w:t>règlement délégué (UE) 2022/1288 de la Commission du 6 avril 2022</w:t>
      </w:r>
      <w:r w:rsidRPr="0030299E">
        <w:rPr>
          <w:bCs/>
        </w:rPr>
        <w:t>.</w:t>
      </w:r>
    </w:p>
    <w:p w14:paraId="3C050EFF" w14:textId="130D1135" w:rsidR="00301282" w:rsidRDefault="00301282" w:rsidP="00BC280B">
      <w:pPr>
        <w:pStyle w:val="Paragraphedeliste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b/>
          <w:bCs/>
        </w:rPr>
      </w:pPr>
      <w:r w:rsidRPr="00EF3DE5">
        <w:rPr>
          <w:b/>
          <w:bCs/>
        </w:rPr>
        <w:t>Description des principales incidences négatives sur les facteurs de durabilité</w:t>
      </w:r>
      <w:r w:rsidR="0041716F">
        <w:rPr>
          <w:b/>
          <w:bCs/>
        </w:rPr>
        <w:t xml:space="preserve"> et comparaison historique</w:t>
      </w:r>
    </w:p>
    <w:p w14:paraId="11631F07" w14:textId="4CC1531B" w:rsidR="0030299E" w:rsidRPr="0030299E" w:rsidRDefault="0030299E" w:rsidP="00A603BB">
      <w:pPr>
        <w:pStyle w:val="Paragraphedeliste"/>
        <w:spacing w:after="120"/>
        <w:ind w:left="360"/>
        <w:contextualSpacing w:val="0"/>
        <w:jc w:val="both"/>
        <w:rPr>
          <w:bCs/>
        </w:rPr>
      </w:pPr>
      <w:r w:rsidRPr="00EF3DE5">
        <w:rPr>
          <w:bCs/>
        </w:rPr>
        <w:t>Les entités assujetties aux obligation</w:t>
      </w:r>
      <w:r>
        <w:rPr>
          <w:bCs/>
        </w:rPr>
        <w:t xml:space="preserve">s de publication de l’article 4 du règlement </w:t>
      </w:r>
      <w:r w:rsidR="00EC1BE7">
        <w:rPr>
          <w:bCs/>
        </w:rPr>
        <w:t xml:space="preserve">(UE) </w:t>
      </w:r>
      <w:r>
        <w:rPr>
          <w:bCs/>
        </w:rPr>
        <w:t>2019/2088</w:t>
      </w:r>
      <w:r w:rsidRPr="0030299E">
        <w:rPr>
          <w:bCs/>
        </w:rPr>
        <w:t xml:space="preserve"> fournissent les informations prévues </w:t>
      </w:r>
      <w:r w:rsidR="0041716F">
        <w:rPr>
          <w:bCs/>
        </w:rPr>
        <w:t>à l’article</w:t>
      </w:r>
      <w:r>
        <w:rPr>
          <w:bCs/>
        </w:rPr>
        <w:t xml:space="preserve"> </w:t>
      </w:r>
      <w:r w:rsidR="0041716F">
        <w:rPr>
          <w:bCs/>
        </w:rPr>
        <w:t>6, paragraphe 1, points a), b) et c)</w:t>
      </w:r>
      <w:r>
        <w:rPr>
          <w:bCs/>
        </w:rPr>
        <w:t xml:space="preserve"> du </w:t>
      </w:r>
      <w:r w:rsidR="00AB3602">
        <w:rPr>
          <w:bCs/>
        </w:rPr>
        <w:t>règlement délégué (UE) 2022/1288</w:t>
      </w:r>
      <w:r w:rsidRPr="0030299E">
        <w:rPr>
          <w:bCs/>
        </w:rPr>
        <w:t>.</w:t>
      </w:r>
    </w:p>
    <w:p w14:paraId="5DE9CD09" w14:textId="3F1ADBB3" w:rsidR="00301282" w:rsidRDefault="00301282" w:rsidP="00BC280B">
      <w:pPr>
        <w:pStyle w:val="Paragraphedeliste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b/>
          <w:bCs/>
        </w:rPr>
      </w:pPr>
      <w:r w:rsidRPr="00EF3DE5">
        <w:rPr>
          <w:b/>
          <w:bCs/>
        </w:rPr>
        <w:t>Description des politiques visant à identifier et hiérarchiser les principales incidences négatives sur les facteurs de durabilité</w:t>
      </w:r>
    </w:p>
    <w:p w14:paraId="57D9F7E2" w14:textId="63FA4341" w:rsidR="0030299E" w:rsidRPr="0030299E" w:rsidRDefault="0030299E" w:rsidP="00A603BB">
      <w:pPr>
        <w:pStyle w:val="Paragraphedeliste"/>
        <w:spacing w:after="120"/>
        <w:ind w:left="360"/>
        <w:contextualSpacing w:val="0"/>
        <w:jc w:val="both"/>
        <w:rPr>
          <w:bCs/>
        </w:rPr>
      </w:pPr>
      <w:r w:rsidRPr="00EF3DE5">
        <w:rPr>
          <w:bCs/>
        </w:rPr>
        <w:t>Les entités assujetties aux obligation</w:t>
      </w:r>
      <w:r>
        <w:rPr>
          <w:bCs/>
        </w:rPr>
        <w:t xml:space="preserve">s de publication de l’article 4 du règlement </w:t>
      </w:r>
      <w:r w:rsidR="00EC1BE7">
        <w:rPr>
          <w:bCs/>
        </w:rPr>
        <w:t xml:space="preserve">(UE) </w:t>
      </w:r>
      <w:r>
        <w:rPr>
          <w:bCs/>
        </w:rPr>
        <w:t>2019/2088</w:t>
      </w:r>
      <w:r w:rsidRPr="0030299E">
        <w:rPr>
          <w:bCs/>
        </w:rPr>
        <w:t xml:space="preserve"> fournissent les informations prévues </w:t>
      </w:r>
      <w:r>
        <w:rPr>
          <w:bCs/>
        </w:rPr>
        <w:t xml:space="preserve">à l’article 7 du </w:t>
      </w:r>
      <w:r w:rsidR="00AB3602">
        <w:rPr>
          <w:bCs/>
        </w:rPr>
        <w:t>règlement délégué (UE) 2022/1288</w:t>
      </w:r>
      <w:r w:rsidRPr="0030299E">
        <w:rPr>
          <w:bCs/>
        </w:rPr>
        <w:t>.</w:t>
      </w:r>
    </w:p>
    <w:p w14:paraId="6EF4DA78" w14:textId="60078BF7" w:rsidR="00301282" w:rsidRDefault="00301282" w:rsidP="00BC280B">
      <w:pPr>
        <w:pStyle w:val="Paragraphedeliste"/>
        <w:numPr>
          <w:ilvl w:val="0"/>
          <w:numId w:val="2"/>
        </w:numPr>
        <w:spacing w:after="60"/>
        <w:contextualSpacing w:val="0"/>
        <w:jc w:val="both"/>
        <w:rPr>
          <w:b/>
          <w:bCs/>
        </w:rPr>
      </w:pPr>
      <w:r w:rsidRPr="00EF3DE5">
        <w:rPr>
          <w:b/>
          <w:bCs/>
        </w:rPr>
        <w:t>Politique d’engagement</w:t>
      </w:r>
    </w:p>
    <w:p w14:paraId="1236E095" w14:textId="0E9B53D5" w:rsidR="0030299E" w:rsidRPr="0030299E" w:rsidRDefault="0030299E" w:rsidP="00A603BB">
      <w:pPr>
        <w:pStyle w:val="Paragraphedeliste"/>
        <w:spacing w:after="120"/>
        <w:ind w:left="360"/>
        <w:contextualSpacing w:val="0"/>
        <w:jc w:val="both"/>
        <w:rPr>
          <w:bCs/>
        </w:rPr>
      </w:pPr>
      <w:r w:rsidRPr="00EF3DE5">
        <w:rPr>
          <w:bCs/>
        </w:rPr>
        <w:t>Les entités assujetties aux obligation</w:t>
      </w:r>
      <w:r>
        <w:rPr>
          <w:bCs/>
        </w:rPr>
        <w:t xml:space="preserve">s de publication de l’article 4 du règlement </w:t>
      </w:r>
      <w:r w:rsidR="00EC1BE7">
        <w:rPr>
          <w:bCs/>
        </w:rPr>
        <w:t xml:space="preserve">(UE) </w:t>
      </w:r>
      <w:r>
        <w:rPr>
          <w:bCs/>
        </w:rPr>
        <w:t>2019/2088</w:t>
      </w:r>
      <w:r w:rsidRPr="0030299E">
        <w:rPr>
          <w:bCs/>
        </w:rPr>
        <w:t xml:space="preserve"> fournissent les informations prévues </w:t>
      </w:r>
      <w:r>
        <w:rPr>
          <w:bCs/>
        </w:rPr>
        <w:t xml:space="preserve">à l’article 8 du </w:t>
      </w:r>
      <w:r w:rsidR="00AB3602">
        <w:rPr>
          <w:bCs/>
        </w:rPr>
        <w:t>règlement délégué (UE) 2022/1288</w:t>
      </w:r>
      <w:r w:rsidRPr="0030299E">
        <w:rPr>
          <w:bCs/>
        </w:rPr>
        <w:t>.</w:t>
      </w:r>
    </w:p>
    <w:p w14:paraId="426E0E07" w14:textId="4D436BB2" w:rsidR="006B795D" w:rsidRPr="00EF3DE5" w:rsidRDefault="00394F68" w:rsidP="00BC280B">
      <w:pPr>
        <w:pStyle w:val="Paragraphedeliste"/>
        <w:numPr>
          <w:ilvl w:val="0"/>
          <w:numId w:val="2"/>
        </w:numPr>
        <w:spacing w:after="60"/>
        <w:contextualSpacing w:val="0"/>
        <w:jc w:val="both"/>
        <w:rPr>
          <w:b/>
          <w:bCs/>
        </w:rPr>
      </w:pPr>
      <w:r w:rsidRPr="00EF3DE5">
        <w:rPr>
          <w:b/>
          <w:bCs/>
        </w:rPr>
        <w:t xml:space="preserve">Références aux normes internationales </w:t>
      </w:r>
    </w:p>
    <w:p w14:paraId="24444B50" w14:textId="297FC656" w:rsidR="007A0488" w:rsidRPr="0030299E" w:rsidRDefault="007A0488" w:rsidP="00A603BB">
      <w:pPr>
        <w:pStyle w:val="Paragraphedeliste"/>
        <w:spacing w:after="120"/>
        <w:ind w:left="360"/>
        <w:contextualSpacing w:val="0"/>
        <w:jc w:val="both"/>
        <w:rPr>
          <w:bCs/>
        </w:rPr>
      </w:pPr>
      <w:r w:rsidRPr="00EF3DE5">
        <w:rPr>
          <w:bCs/>
        </w:rPr>
        <w:t>Les entités assujetties aux obligation</w:t>
      </w:r>
      <w:r w:rsidR="0030299E">
        <w:rPr>
          <w:bCs/>
        </w:rPr>
        <w:t xml:space="preserve">s de publication de l’article 4 du règlement </w:t>
      </w:r>
      <w:r w:rsidR="00EC1BE7">
        <w:rPr>
          <w:bCs/>
        </w:rPr>
        <w:t xml:space="preserve">(UE) </w:t>
      </w:r>
      <w:r w:rsidR="0030299E">
        <w:rPr>
          <w:bCs/>
        </w:rPr>
        <w:t>2019/2088</w:t>
      </w:r>
      <w:r w:rsidRPr="0030299E">
        <w:rPr>
          <w:bCs/>
        </w:rPr>
        <w:t xml:space="preserve"> fournissent les informations </w:t>
      </w:r>
      <w:r w:rsidR="009F03EC" w:rsidRPr="0030299E">
        <w:rPr>
          <w:bCs/>
        </w:rPr>
        <w:t xml:space="preserve">prévues </w:t>
      </w:r>
      <w:r w:rsidR="0030299E">
        <w:rPr>
          <w:bCs/>
        </w:rPr>
        <w:t xml:space="preserve">à l’article 9 du </w:t>
      </w:r>
      <w:r w:rsidR="00AB3602">
        <w:rPr>
          <w:bCs/>
        </w:rPr>
        <w:t>règlement délégué (UE) 2022/1288</w:t>
      </w:r>
      <w:r w:rsidRPr="0030299E">
        <w:rPr>
          <w:bCs/>
        </w:rPr>
        <w:t>.</w:t>
      </w:r>
    </w:p>
    <w:p w14:paraId="083D1BC6" w14:textId="7238C55E" w:rsidR="00B22281" w:rsidRPr="00EF3DE5" w:rsidRDefault="00B22281" w:rsidP="00A603BB">
      <w:pPr>
        <w:jc w:val="both"/>
      </w:pPr>
    </w:p>
    <w:sectPr w:rsidR="00B22281" w:rsidRPr="00EF3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A7074"/>
    <w:multiLevelType w:val="hybridMultilevel"/>
    <w:tmpl w:val="AC9EC016"/>
    <w:lvl w:ilvl="0" w:tplc="040C0013">
      <w:start w:val="1"/>
      <w:numFmt w:val="upperRoman"/>
      <w:lvlText w:val="%1."/>
      <w:lvlJc w:val="righ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2EF41DE"/>
    <w:multiLevelType w:val="multilevel"/>
    <w:tmpl w:val="77266D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4960BBF"/>
    <w:multiLevelType w:val="multilevel"/>
    <w:tmpl w:val="77266D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F51AA3"/>
    <w:multiLevelType w:val="multilevel"/>
    <w:tmpl w:val="68760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45716D"/>
    <w:multiLevelType w:val="hybridMultilevel"/>
    <w:tmpl w:val="4D2611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7D"/>
    <w:rsid w:val="000265C5"/>
    <w:rsid w:val="00027875"/>
    <w:rsid w:val="000938D8"/>
    <w:rsid w:val="000B2EA4"/>
    <w:rsid w:val="000E1CE9"/>
    <w:rsid w:val="001D4BC4"/>
    <w:rsid w:val="001E5C68"/>
    <w:rsid w:val="001F0E67"/>
    <w:rsid w:val="0020459B"/>
    <w:rsid w:val="002E5650"/>
    <w:rsid w:val="00301282"/>
    <w:rsid w:val="0030299E"/>
    <w:rsid w:val="00350F21"/>
    <w:rsid w:val="00393DB5"/>
    <w:rsid w:val="00394F68"/>
    <w:rsid w:val="0041716F"/>
    <w:rsid w:val="004378B3"/>
    <w:rsid w:val="00461B2A"/>
    <w:rsid w:val="00503747"/>
    <w:rsid w:val="005B2865"/>
    <w:rsid w:val="00624DF7"/>
    <w:rsid w:val="00655481"/>
    <w:rsid w:val="006A7A7D"/>
    <w:rsid w:val="006B795D"/>
    <w:rsid w:val="007364E5"/>
    <w:rsid w:val="00755867"/>
    <w:rsid w:val="00766524"/>
    <w:rsid w:val="00786EBA"/>
    <w:rsid w:val="007A0488"/>
    <w:rsid w:val="00804B48"/>
    <w:rsid w:val="008058A5"/>
    <w:rsid w:val="00814D31"/>
    <w:rsid w:val="00816C78"/>
    <w:rsid w:val="00816CD9"/>
    <w:rsid w:val="00837B08"/>
    <w:rsid w:val="0092293E"/>
    <w:rsid w:val="009708E0"/>
    <w:rsid w:val="009F0307"/>
    <w:rsid w:val="009F03EC"/>
    <w:rsid w:val="00A41624"/>
    <w:rsid w:val="00A603BB"/>
    <w:rsid w:val="00A64208"/>
    <w:rsid w:val="00A65EEC"/>
    <w:rsid w:val="00A876A9"/>
    <w:rsid w:val="00AA66D1"/>
    <w:rsid w:val="00AB3602"/>
    <w:rsid w:val="00AE0640"/>
    <w:rsid w:val="00B043A0"/>
    <w:rsid w:val="00B22281"/>
    <w:rsid w:val="00B51B63"/>
    <w:rsid w:val="00BC280B"/>
    <w:rsid w:val="00BC7BCD"/>
    <w:rsid w:val="00C52801"/>
    <w:rsid w:val="00C63F34"/>
    <w:rsid w:val="00CF72E3"/>
    <w:rsid w:val="00D03219"/>
    <w:rsid w:val="00D11FEE"/>
    <w:rsid w:val="00D31676"/>
    <w:rsid w:val="00D64AE1"/>
    <w:rsid w:val="00EC1BE7"/>
    <w:rsid w:val="00EF3A48"/>
    <w:rsid w:val="00EF3DE5"/>
    <w:rsid w:val="00F01036"/>
    <w:rsid w:val="00F02963"/>
    <w:rsid w:val="00F02EF8"/>
    <w:rsid w:val="00F12ECA"/>
    <w:rsid w:val="00FA072B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79B2"/>
  <w15:chartTrackingRefBased/>
  <w15:docId w15:val="{AAEB8A1C-2F50-4E25-82DE-71036F19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565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665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65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65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65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652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5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048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US"/>
    </w:rPr>
  </w:style>
  <w:style w:type="paragraph" w:styleId="Rvision">
    <w:name w:val="Revision"/>
    <w:hidden/>
    <w:uiPriority w:val="99"/>
    <w:semiHidden/>
    <w:rsid w:val="007A0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1AFF57B16E448BAC5E1164385BEC8" ma:contentTypeVersion="0" ma:contentTypeDescription="Crée un document." ma:contentTypeScope="" ma:versionID="fecb406150e72bb157feb7f44fc02f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c2724ea5eeb8e9e423cfa8c225ed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350FF2-2665-462F-BD1A-D7DFA757C4C8}"/>
</file>

<file path=customXml/itemProps2.xml><?xml version="1.0" encoding="utf-8"?>
<ds:datastoreItem xmlns:ds="http://schemas.openxmlformats.org/officeDocument/2006/customXml" ds:itemID="{E6E6F78F-6891-4826-A6E7-381AF5FFC661}"/>
</file>

<file path=customXml/itemProps3.xml><?xml version="1.0" encoding="utf-8"?>
<ds:datastoreItem xmlns:ds="http://schemas.openxmlformats.org/officeDocument/2006/customXml" ds:itemID="{82BF3834-B4B2-48EA-9854-2A58EACC0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TORCAT Jean (SGACPR DCA2)</dc:creator>
  <cp:keywords/>
  <dc:description/>
  <cp:lastModifiedBy>ABDESSATER Chloe</cp:lastModifiedBy>
  <cp:revision>5</cp:revision>
  <dcterms:created xsi:type="dcterms:W3CDTF">2022-12-05T10:51:00Z</dcterms:created>
  <dcterms:modified xsi:type="dcterms:W3CDTF">2022-12-15T09:37:00Z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0x0101003DC1AFF57B16E448BAC5E1164385BEC8</vt:lpwstr>
  </property>
</Properties>
</file>